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80CC" w14:textId="77777777" w:rsidR="000A37BA" w:rsidRDefault="00D93A71">
      <w:pPr>
        <w:spacing w:after="0" w:line="259" w:lineRule="auto"/>
        <w:ind w:left="15" w:firstLine="0"/>
      </w:pPr>
      <w:r>
        <w:rPr>
          <w:b/>
          <w:sz w:val="24"/>
        </w:rPr>
        <w:t xml:space="preserve"> </w:t>
      </w:r>
      <w:r>
        <w:t xml:space="preserve"> </w:t>
      </w:r>
    </w:p>
    <w:p w14:paraId="1C9D0B59" w14:textId="77777777" w:rsidR="000A37BA" w:rsidRDefault="00D93A71">
      <w:pPr>
        <w:spacing w:after="0" w:line="259" w:lineRule="auto"/>
        <w:ind w:left="0" w:firstLine="0"/>
        <w:jc w:val="right"/>
      </w:pPr>
      <w:r>
        <w:rPr>
          <w:noProof/>
        </w:rPr>
        <w:drawing>
          <wp:inline distT="0" distB="0" distL="0" distR="0" wp14:anchorId="171A3CA8" wp14:editId="6495AD1B">
            <wp:extent cx="6733033" cy="1463040"/>
            <wp:effectExtent l="0" t="0" r="0" b="0"/>
            <wp:docPr id="3930" name="Picture 3930"/>
            <wp:cNvGraphicFramePr/>
            <a:graphic xmlns:a="http://schemas.openxmlformats.org/drawingml/2006/main">
              <a:graphicData uri="http://schemas.openxmlformats.org/drawingml/2006/picture">
                <pic:pic xmlns:pic="http://schemas.openxmlformats.org/drawingml/2006/picture">
                  <pic:nvPicPr>
                    <pic:cNvPr id="3930" name="Picture 3930"/>
                    <pic:cNvPicPr/>
                  </pic:nvPicPr>
                  <pic:blipFill>
                    <a:blip r:embed="rId5"/>
                    <a:stretch>
                      <a:fillRect/>
                    </a:stretch>
                  </pic:blipFill>
                  <pic:spPr>
                    <a:xfrm>
                      <a:off x="0" y="0"/>
                      <a:ext cx="6733033" cy="1463040"/>
                    </a:xfrm>
                    <a:prstGeom prst="rect">
                      <a:avLst/>
                    </a:prstGeom>
                  </pic:spPr>
                </pic:pic>
              </a:graphicData>
            </a:graphic>
          </wp:inline>
        </w:drawing>
      </w:r>
      <w:r>
        <w:rPr>
          <w:b/>
          <w:sz w:val="24"/>
        </w:rPr>
        <w:t xml:space="preserve">  </w:t>
      </w:r>
      <w:r>
        <w:t xml:space="preserve"> </w:t>
      </w:r>
    </w:p>
    <w:p w14:paraId="4FC904C3" w14:textId="77777777" w:rsidR="000A37BA" w:rsidRDefault="00D93A71">
      <w:pPr>
        <w:spacing w:after="0" w:line="259" w:lineRule="auto"/>
        <w:ind w:left="10" w:right="58"/>
        <w:jc w:val="center"/>
      </w:pPr>
      <w:r>
        <w:rPr>
          <w:b/>
          <w:sz w:val="24"/>
        </w:rPr>
        <w:t xml:space="preserve">Minnetonka Family Service Collaborative (MFC) </w:t>
      </w:r>
      <w:r>
        <w:t xml:space="preserve"> </w:t>
      </w:r>
    </w:p>
    <w:p w14:paraId="6DC885DA" w14:textId="73D4D0A5" w:rsidR="000A37BA" w:rsidRDefault="00D93A71">
      <w:pPr>
        <w:spacing w:after="0" w:line="259" w:lineRule="auto"/>
        <w:ind w:left="10" w:right="43"/>
        <w:jc w:val="center"/>
      </w:pPr>
      <w:r>
        <w:rPr>
          <w:b/>
          <w:sz w:val="24"/>
        </w:rPr>
        <w:t>202</w:t>
      </w:r>
      <w:r w:rsidR="003B2E4D">
        <w:rPr>
          <w:b/>
          <w:sz w:val="24"/>
        </w:rPr>
        <w:t>2</w:t>
      </w:r>
      <w:r>
        <w:rPr>
          <w:b/>
          <w:sz w:val="24"/>
        </w:rPr>
        <w:t>- 202</w:t>
      </w:r>
      <w:r w:rsidR="003B2E4D">
        <w:rPr>
          <w:b/>
          <w:sz w:val="24"/>
        </w:rPr>
        <w:t>3</w:t>
      </w:r>
      <w:r>
        <w:rPr>
          <w:b/>
          <w:sz w:val="24"/>
        </w:rPr>
        <w:t xml:space="preserve"> MFC GRANTS  </w:t>
      </w:r>
      <w:r>
        <w:t xml:space="preserve"> </w:t>
      </w:r>
    </w:p>
    <w:p w14:paraId="40C3F44E" w14:textId="77777777" w:rsidR="000A37BA" w:rsidRDefault="00D93A71">
      <w:pPr>
        <w:spacing w:after="0" w:line="259" w:lineRule="auto"/>
        <w:ind w:left="115" w:firstLine="0"/>
        <w:jc w:val="center"/>
      </w:pPr>
      <w:r>
        <w:rPr>
          <w:b/>
          <w:sz w:val="24"/>
        </w:rPr>
        <w:t xml:space="preserve"> </w:t>
      </w:r>
      <w:r>
        <w:t xml:space="preserve"> </w:t>
      </w:r>
    </w:p>
    <w:p w14:paraId="388034C5" w14:textId="77777777" w:rsidR="000A37BA" w:rsidRDefault="00D93A71">
      <w:pPr>
        <w:pStyle w:val="Heading1"/>
        <w:numPr>
          <w:ilvl w:val="0"/>
          <w:numId w:val="0"/>
        </w:numPr>
        <w:ind w:left="10" w:right="2502"/>
      </w:pPr>
      <w:r>
        <w:t xml:space="preserve">MFC Overview  </w:t>
      </w:r>
    </w:p>
    <w:p w14:paraId="29753AA4" w14:textId="77777777" w:rsidR="000A37BA" w:rsidRDefault="00D93A71">
      <w:pPr>
        <w:spacing w:after="0"/>
        <w:ind w:right="49"/>
      </w:pPr>
      <w:r>
        <w:t xml:space="preserve">The Minnetonka Family Service Collaborative (MFC) is an unincorporated association of designated community </w:t>
      </w:r>
      <w:proofErr w:type="gramStart"/>
      <w:r>
        <w:t>partners  authorized</w:t>
      </w:r>
      <w:proofErr w:type="gramEnd"/>
      <w:r>
        <w:t xml:space="preserve"> by federal regulations and state statute overseeing the utilization of federal Medicaid and Title IVE dollars that are reimburse</w:t>
      </w:r>
      <w:r>
        <w:t>d to states, counties and communities in the form of Local Collaborative Time Study Dollars (LCTS).  Community investments the MFC makes each year are based on earnings that come from federal reimbursements for services delivered by Minnetonka School distr</w:t>
      </w:r>
      <w:r>
        <w:t xml:space="preserve">ict staff.  MFC is governed by a community stakeholder governance group.  </w:t>
      </w:r>
    </w:p>
    <w:p w14:paraId="11576D96" w14:textId="77777777" w:rsidR="000A37BA" w:rsidRDefault="00D93A71">
      <w:pPr>
        <w:spacing w:after="0" w:line="259" w:lineRule="auto"/>
        <w:ind w:left="15" w:firstLine="0"/>
      </w:pPr>
      <w:r>
        <w:t xml:space="preserve">  </w:t>
      </w:r>
    </w:p>
    <w:p w14:paraId="6213DC52" w14:textId="77777777" w:rsidR="000A37BA" w:rsidRDefault="00D93A71">
      <w:pPr>
        <w:spacing w:after="0" w:line="246" w:lineRule="auto"/>
        <w:ind w:left="5" w:right="12" w:hanging="20"/>
      </w:pPr>
      <w:r>
        <w:rPr>
          <w:b/>
          <w:i/>
        </w:rPr>
        <w:t xml:space="preserve">MFC Vision: </w:t>
      </w:r>
      <w:r>
        <w:rPr>
          <w:i/>
        </w:rPr>
        <w:t xml:space="preserve">To be the best and most accessible intersection of needs and resources that leads to thriving youth and families in the Minnetonka School District.   </w:t>
      </w:r>
      <w:r>
        <w:t xml:space="preserve"> </w:t>
      </w:r>
    </w:p>
    <w:p w14:paraId="2EF824E9" w14:textId="77777777" w:rsidR="000A37BA" w:rsidRDefault="00D93A71">
      <w:pPr>
        <w:spacing w:after="0" w:line="259" w:lineRule="auto"/>
        <w:ind w:left="15" w:firstLine="0"/>
      </w:pPr>
      <w:r>
        <w:rPr>
          <w:i/>
        </w:rPr>
        <w:t xml:space="preserve"> </w:t>
      </w:r>
      <w:r>
        <w:t xml:space="preserve"> </w:t>
      </w:r>
    </w:p>
    <w:p w14:paraId="00ACC070" w14:textId="77777777" w:rsidR="000A37BA" w:rsidRDefault="00D93A71">
      <w:pPr>
        <w:spacing w:after="0" w:line="246" w:lineRule="auto"/>
        <w:ind w:left="5" w:right="12" w:hanging="20"/>
      </w:pPr>
      <w:r>
        <w:rPr>
          <w:b/>
          <w:i/>
        </w:rPr>
        <w:t>MFC Mission</w:t>
      </w:r>
      <w:r>
        <w:rPr>
          <w:b/>
          <w:i/>
        </w:rPr>
        <w:t xml:space="preserve">: </w:t>
      </w:r>
      <w:r>
        <w:rPr>
          <w:i/>
        </w:rPr>
        <w:t xml:space="preserve">to support and enhance the well-being of children, youth, and families in the Minnetonka School District through partnerships with the community. </w:t>
      </w:r>
      <w:r>
        <w:t xml:space="preserve"> </w:t>
      </w:r>
    </w:p>
    <w:p w14:paraId="7E5F283B" w14:textId="77777777" w:rsidR="000A37BA" w:rsidRDefault="00D93A71">
      <w:pPr>
        <w:spacing w:after="0" w:line="259" w:lineRule="auto"/>
        <w:ind w:left="15" w:firstLine="0"/>
      </w:pPr>
      <w:r>
        <w:t xml:space="preserve">  </w:t>
      </w:r>
    </w:p>
    <w:p w14:paraId="23974B55" w14:textId="5D21C9B8" w:rsidR="000A37BA" w:rsidRDefault="00D93A71">
      <w:pPr>
        <w:ind w:right="49"/>
      </w:pPr>
      <w:r>
        <w:rPr>
          <w:b/>
        </w:rPr>
        <w:t>202</w:t>
      </w:r>
      <w:r w:rsidR="003B2E4D">
        <w:rPr>
          <w:b/>
        </w:rPr>
        <w:t>2</w:t>
      </w:r>
      <w:r>
        <w:rPr>
          <w:b/>
        </w:rPr>
        <w:t>- 202</w:t>
      </w:r>
      <w:r w:rsidR="003B2E4D">
        <w:rPr>
          <w:b/>
        </w:rPr>
        <w:t xml:space="preserve">3 </w:t>
      </w:r>
      <w:r>
        <w:rPr>
          <w:b/>
        </w:rPr>
        <w:t xml:space="preserve">Geographic Focus: </w:t>
      </w:r>
      <w:r>
        <w:t xml:space="preserve">Minnetonka School District   </w:t>
      </w:r>
    </w:p>
    <w:p w14:paraId="7E31D078" w14:textId="77777777" w:rsidR="000A37BA" w:rsidRDefault="00D93A71">
      <w:pPr>
        <w:spacing w:after="54" w:line="259" w:lineRule="auto"/>
        <w:ind w:left="15" w:firstLine="0"/>
      </w:pPr>
      <w:r>
        <w:t xml:space="preserve">  </w:t>
      </w:r>
    </w:p>
    <w:p w14:paraId="58178E91" w14:textId="4EFF651F" w:rsidR="000A37BA" w:rsidRDefault="003B2E4D" w:rsidP="003B2E4D">
      <w:pPr>
        <w:pStyle w:val="Heading1"/>
        <w:numPr>
          <w:ilvl w:val="0"/>
          <w:numId w:val="0"/>
        </w:numPr>
        <w:spacing w:after="90"/>
        <w:ind w:left="500" w:right="2502"/>
      </w:pPr>
      <w:r>
        <w:t>2022</w:t>
      </w:r>
      <w:r w:rsidR="00D93A71">
        <w:t xml:space="preserve">- </w:t>
      </w:r>
      <w:r w:rsidR="00D93A71">
        <w:t>202</w:t>
      </w:r>
      <w:r>
        <w:t xml:space="preserve">3 </w:t>
      </w:r>
      <w:r w:rsidR="00D93A71">
        <w:t xml:space="preserve">Strategic Priorities: </w:t>
      </w:r>
      <w:r w:rsidR="00D93A71">
        <w:rPr>
          <w:i/>
        </w:rPr>
        <w:t>(stated in priority order)</w:t>
      </w:r>
      <w:r w:rsidR="00D93A71">
        <w:rPr>
          <w:b w:val="0"/>
        </w:rPr>
        <w:t xml:space="preserve"> </w:t>
      </w:r>
      <w:r w:rsidR="00D93A71">
        <w:t xml:space="preserve"> </w:t>
      </w:r>
    </w:p>
    <w:p w14:paraId="1AC53E00" w14:textId="77777777" w:rsidR="000A37BA" w:rsidRDefault="00D93A71">
      <w:pPr>
        <w:numPr>
          <w:ilvl w:val="0"/>
          <w:numId w:val="1"/>
        </w:numPr>
        <w:spacing w:after="81"/>
        <w:ind w:right="49" w:hanging="360"/>
      </w:pPr>
      <w:r>
        <w:rPr>
          <w:b/>
        </w:rPr>
        <w:t>Children’s mental health (0-21)</w:t>
      </w:r>
      <w:r>
        <w:t xml:space="preserve"> </w:t>
      </w:r>
      <w:r>
        <w:t>–</w:t>
      </w:r>
      <w:r>
        <w:t xml:space="preserve"> help children and youth have full access to resources and credentialed support services with a focus on those families and children with the least access currently.  </w:t>
      </w:r>
    </w:p>
    <w:p w14:paraId="1BE83A01" w14:textId="77777777" w:rsidR="000A37BA" w:rsidRDefault="00D93A71">
      <w:pPr>
        <w:numPr>
          <w:ilvl w:val="0"/>
          <w:numId w:val="1"/>
        </w:numPr>
        <w:ind w:right="49" w:hanging="360"/>
      </w:pPr>
      <w:r>
        <w:rPr>
          <w:b/>
        </w:rPr>
        <w:t>Early childhood</w:t>
      </w:r>
      <w:r>
        <w:t xml:space="preserve"> (0-5) </w:t>
      </w:r>
      <w:r>
        <w:t>–</w:t>
      </w:r>
      <w:r>
        <w:t xml:space="preserve"> help provide outreach, screening, service coordination, and other interventions to support the healthy development of children and youth, with a focus on supporting those with the least resources.    </w:t>
      </w:r>
    </w:p>
    <w:p w14:paraId="3705EE16" w14:textId="77777777" w:rsidR="000A37BA" w:rsidRDefault="00D93A71">
      <w:pPr>
        <w:numPr>
          <w:ilvl w:val="0"/>
          <w:numId w:val="1"/>
        </w:numPr>
        <w:spacing w:after="44" w:line="245" w:lineRule="auto"/>
        <w:ind w:right="49" w:hanging="360"/>
      </w:pPr>
      <w:r>
        <w:rPr>
          <w:b/>
        </w:rPr>
        <w:t>Opportunities for Academic suc</w:t>
      </w:r>
      <w:r>
        <w:rPr>
          <w:b/>
        </w:rPr>
        <w:t>cess</w:t>
      </w:r>
      <w:r>
        <w:t xml:space="preserve"> </w:t>
      </w:r>
      <w:r>
        <w:t>–</w:t>
      </w:r>
      <w:r>
        <w:t xml:space="preserve"> help address identified barriers to academic success by supporting system-based responses for school-aged children (</w:t>
      </w:r>
      <w:proofErr w:type="gramStart"/>
      <w:r>
        <w:t>e.g.</w:t>
      </w:r>
      <w:proofErr w:type="gramEnd"/>
      <w:r>
        <w:t xml:space="preserve"> truancy, attendance, nutrition, out-of-school supports, etc.)  </w:t>
      </w:r>
    </w:p>
    <w:p w14:paraId="798BA4E5" w14:textId="77777777" w:rsidR="000A37BA" w:rsidRDefault="00D93A71">
      <w:pPr>
        <w:numPr>
          <w:ilvl w:val="0"/>
          <w:numId w:val="1"/>
        </w:numPr>
        <w:ind w:right="49" w:hanging="360"/>
      </w:pPr>
      <w:r>
        <w:rPr>
          <w:b/>
        </w:rPr>
        <w:t>Underage substance use</w:t>
      </w:r>
      <w:r>
        <w:t xml:space="preserve"> - reduce underage alcohol and drug use by</w:t>
      </w:r>
      <w:r>
        <w:t xml:space="preserve"> school-aged children.  </w:t>
      </w:r>
    </w:p>
    <w:p w14:paraId="7D41DC66" w14:textId="77777777" w:rsidR="000A37BA" w:rsidRDefault="00D93A71">
      <w:pPr>
        <w:numPr>
          <w:ilvl w:val="0"/>
          <w:numId w:val="1"/>
        </w:numPr>
        <w:spacing w:after="2"/>
        <w:ind w:right="49" w:hanging="360"/>
      </w:pPr>
      <w:r>
        <w:rPr>
          <w:b/>
        </w:rPr>
        <w:t xml:space="preserve">Develop and strengthen stakeholder partnerships </w:t>
      </w:r>
      <w:r>
        <w:t>–</w:t>
      </w:r>
      <w:r>
        <w:t xml:space="preserve"> act as a strategic community resource supporting the wellbeing of youth and families within the Minnetonka School District boundaries.  </w:t>
      </w:r>
    </w:p>
    <w:p w14:paraId="62B134F5" w14:textId="77777777" w:rsidR="000A37BA" w:rsidRDefault="00D93A71">
      <w:pPr>
        <w:spacing w:after="0" w:line="259" w:lineRule="auto"/>
        <w:ind w:left="15" w:firstLine="0"/>
      </w:pPr>
      <w:r>
        <w:rPr>
          <w:b/>
        </w:rPr>
        <w:t xml:space="preserve"> </w:t>
      </w:r>
      <w:r>
        <w:t xml:space="preserve"> </w:t>
      </w:r>
    </w:p>
    <w:p w14:paraId="4349773E" w14:textId="71A90169" w:rsidR="000A37BA" w:rsidRDefault="00D93A71">
      <w:pPr>
        <w:pStyle w:val="Heading1"/>
        <w:numPr>
          <w:ilvl w:val="0"/>
          <w:numId w:val="0"/>
        </w:numPr>
        <w:spacing w:after="229"/>
        <w:ind w:left="10" w:right="2502"/>
      </w:pPr>
      <w:r w:rsidRPr="00E34E44">
        <w:t>Total 202</w:t>
      </w:r>
      <w:r w:rsidR="003B2E4D" w:rsidRPr="00E34E44">
        <w:t>2</w:t>
      </w:r>
      <w:r w:rsidRPr="00E34E44">
        <w:t>- 202</w:t>
      </w:r>
      <w:r w:rsidR="003B2E4D" w:rsidRPr="00E34E44">
        <w:t>3</w:t>
      </w:r>
      <w:r w:rsidRPr="00E34E44">
        <w:t xml:space="preserve"> </w:t>
      </w:r>
      <w:r w:rsidRPr="00E34E44">
        <w:t xml:space="preserve">dollars available for fiscal year (July 1 </w:t>
      </w:r>
      <w:r w:rsidRPr="00E34E44">
        <w:t>–</w:t>
      </w:r>
      <w:r w:rsidRPr="00E34E44">
        <w:t xml:space="preserve"> June 30):  </w:t>
      </w:r>
      <w:r w:rsidRPr="00E34E44">
        <w:rPr>
          <w:b w:val="0"/>
          <w:shd w:val="clear" w:color="auto" w:fill="FFFF00"/>
        </w:rPr>
        <w:t>$100,000 for</w:t>
      </w:r>
      <w:r w:rsidRPr="00E34E44">
        <w:rPr>
          <w:b w:val="0"/>
        </w:rPr>
        <w:t xml:space="preserve"> </w:t>
      </w:r>
      <w:r w:rsidRPr="00E34E44">
        <w:rPr>
          <w:b w:val="0"/>
          <w:shd w:val="clear" w:color="auto" w:fill="FFFF00"/>
        </w:rPr>
        <w:t>community</w:t>
      </w:r>
      <w:r w:rsidR="003B2E4D" w:rsidRPr="00E34E44">
        <w:rPr>
          <w:b w:val="0"/>
          <w:shd w:val="clear" w:color="auto" w:fill="FFFF00"/>
        </w:rPr>
        <w:t xml:space="preserve"> </w:t>
      </w:r>
      <w:r w:rsidRPr="00E34E44">
        <w:rPr>
          <w:b w:val="0"/>
          <w:shd w:val="clear" w:color="auto" w:fill="FFFF00"/>
        </w:rPr>
        <w:t>organizations</w:t>
      </w:r>
      <w:r>
        <w:rPr>
          <w:b w:val="0"/>
        </w:rPr>
        <w:t xml:space="preserve"> </w:t>
      </w:r>
    </w:p>
    <w:p w14:paraId="130464F6" w14:textId="77777777" w:rsidR="00D93A71" w:rsidRDefault="00D93A71">
      <w:pPr>
        <w:spacing w:after="293" w:line="252" w:lineRule="auto"/>
        <w:ind w:left="10" w:right="2502"/>
        <w:rPr>
          <w:b/>
        </w:rPr>
      </w:pPr>
    </w:p>
    <w:p w14:paraId="1F340B63" w14:textId="77777777" w:rsidR="00D93A71" w:rsidRDefault="00D93A71">
      <w:pPr>
        <w:spacing w:after="293" w:line="252" w:lineRule="auto"/>
        <w:ind w:left="10" w:right="2502"/>
        <w:rPr>
          <w:b/>
        </w:rPr>
      </w:pPr>
    </w:p>
    <w:p w14:paraId="74705000" w14:textId="2AA1E0A6" w:rsidR="000A37BA" w:rsidRDefault="00D93A71">
      <w:pPr>
        <w:spacing w:after="293" w:line="252" w:lineRule="auto"/>
        <w:ind w:left="10" w:right="2502"/>
      </w:pPr>
      <w:r>
        <w:rPr>
          <w:b/>
        </w:rPr>
        <w:lastRenderedPageBreak/>
        <w:t xml:space="preserve">Timeline:  </w:t>
      </w:r>
    </w:p>
    <w:p w14:paraId="13B9FEF9" w14:textId="608F0BF4" w:rsidR="000A37BA" w:rsidRDefault="00D93A71">
      <w:pPr>
        <w:numPr>
          <w:ilvl w:val="0"/>
          <w:numId w:val="2"/>
        </w:numPr>
        <w:spacing w:after="3" w:line="259" w:lineRule="auto"/>
        <w:ind w:hanging="360"/>
      </w:pPr>
      <w:r>
        <w:rPr>
          <w:color w:val="201F1E"/>
        </w:rPr>
        <w:t>February 1</w:t>
      </w:r>
      <w:r w:rsidR="00E34E44">
        <w:rPr>
          <w:color w:val="201F1E"/>
        </w:rPr>
        <w:t>8</w:t>
      </w:r>
      <w:r>
        <w:rPr>
          <w:color w:val="201F1E"/>
        </w:rPr>
        <w:t>, 202</w:t>
      </w:r>
      <w:r w:rsidR="00E34E44">
        <w:rPr>
          <w:color w:val="201F1E"/>
        </w:rPr>
        <w:t>2</w:t>
      </w:r>
      <w:r>
        <w:rPr>
          <w:color w:val="201F1E"/>
        </w:rPr>
        <w:t xml:space="preserve"> - Public release of MFC grant program</w:t>
      </w:r>
      <w:r>
        <w:rPr>
          <w:rFonts w:ascii="Segoe UI" w:eastAsia="Segoe UI" w:hAnsi="Segoe UI" w:cs="Segoe UI"/>
          <w:color w:val="201F1E"/>
          <w:sz w:val="23"/>
        </w:rPr>
        <w:t xml:space="preserve"> </w:t>
      </w:r>
    </w:p>
    <w:p w14:paraId="61774A61" w14:textId="53BED341" w:rsidR="000A37BA" w:rsidRDefault="00D93A71">
      <w:pPr>
        <w:numPr>
          <w:ilvl w:val="0"/>
          <w:numId w:val="2"/>
        </w:numPr>
        <w:spacing w:after="3" w:line="259" w:lineRule="auto"/>
        <w:ind w:hanging="360"/>
      </w:pPr>
      <w:r>
        <w:rPr>
          <w:color w:val="201F1E"/>
        </w:rPr>
        <w:t>Friday, March 1</w:t>
      </w:r>
      <w:r w:rsidR="00E34E44">
        <w:rPr>
          <w:color w:val="201F1E"/>
        </w:rPr>
        <w:t>8t</w:t>
      </w:r>
      <w:r>
        <w:rPr>
          <w:color w:val="201F1E"/>
        </w:rPr>
        <w:t>h, 202</w:t>
      </w:r>
      <w:r w:rsidR="00E34E44">
        <w:rPr>
          <w:color w:val="201F1E"/>
        </w:rPr>
        <w:t>2</w:t>
      </w:r>
      <w:r>
        <w:rPr>
          <w:color w:val="201F1E"/>
        </w:rPr>
        <w:t>–</w:t>
      </w:r>
      <w:r>
        <w:rPr>
          <w:color w:val="201F1E"/>
        </w:rPr>
        <w:t xml:space="preserve"> Deadline for completed RFPs (4:00 pm)</w:t>
      </w:r>
      <w:r>
        <w:rPr>
          <w:rFonts w:ascii="Segoe UI" w:eastAsia="Segoe UI" w:hAnsi="Segoe UI" w:cs="Segoe UI"/>
          <w:color w:val="201F1E"/>
          <w:sz w:val="23"/>
        </w:rPr>
        <w:t xml:space="preserve"> </w:t>
      </w:r>
    </w:p>
    <w:p w14:paraId="386D66B9" w14:textId="77777777" w:rsidR="000A37BA" w:rsidRDefault="00D93A71">
      <w:pPr>
        <w:numPr>
          <w:ilvl w:val="0"/>
          <w:numId w:val="2"/>
        </w:numPr>
        <w:spacing w:after="3" w:line="259" w:lineRule="auto"/>
        <w:ind w:hanging="360"/>
      </w:pPr>
      <w:r>
        <w:rPr>
          <w:color w:val="201F1E"/>
        </w:rPr>
        <w:t>April</w:t>
      </w:r>
      <w:r>
        <w:rPr>
          <w:color w:val="201F1E"/>
        </w:rPr>
        <w:t>–</w:t>
      </w:r>
      <w:r>
        <w:rPr>
          <w:color w:val="201F1E"/>
        </w:rPr>
        <w:t xml:space="preserve"> Virtual Q&amp;A of </w:t>
      </w:r>
      <w:r>
        <w:rPr>
          <w:color w:val="201F1E"/>
        </w:rPr>
        <w:t xml:space="preserve">applicants with Grant Review Committee </w:t>
      </w:r>
      <w:r>
        <w:rPr>
          <w:color w:val="201F1E"/>
        </w:rPr>
        <w:t>–</w:t>
      </w:r>
      <w:r>
        <w:rPr>
          <w:color w:val="201F1E"/>
        </w:rPr>
        <w:t xml:space="preserve"> Date TBD</w:t>
      </w:r>
      <w:r>
        <w:rPr>
          <w:rFonts w:ascii="Segoe UI" w:eastAsia="Segoe UI" w:hAnsi="Segoe UI" w:cs="Segoe UI"/>
          <w:color w:val="201F1E"/>
          <w:sz w:val="23"/>
        </w:rPr>
        <w:t xml:space="preserve"> </w:t>
      </w:r>
    </w:p>
    <w:p w14:paraId="580A87DE" w14:textId="77777777" w:rsidR="000A37BA" w:rsidRDefault="00D93A71">
      <w:pPr>
        <w:numPr>
          <w:ilvl w:val="0"/>
          <w:numId w:val="2"/>
        </w:numPr>
        <w:spacing w:after="3" w:line="259" w:lineRule="auto"/>
        <w:ind w:hanging="360"/>
      </w:pPr>
      <w:r>
        <w:rPr>
          <w:color w:val="201F1E"/>
        </w:rPr>
        <w:t>May 2021</w:t>
      </w:r>
      <w:r>
        <w:rPr>
          <w:color w:val="201F1E"/>
        </w:rPr>
        <w:t>–</w:t>
      </w:r>
      <w:r>
        <w:rPr>
          <w:color w:val="201F1E"/>
        </w:rPr>
        <w:t xml:space="preserve"> Formal Board Recognition of review panel recommendations</w:t>
      </w:r>
      <w:r>
        <w:rPr>
          <w:rFonts w:ascii="Segoe UI" w:eastAsia="Segoe UI" w:hAnsi="Segoe UI" w:cs="Segoe UI"/>
          <w:color w:val="201F1E"/>
          <w:sz w:val="23"/>
        </w:rPr>
        <w:t xml:space="preserve"> </w:t>
      </w:r>
    </w:p>
    <w:p w14:paraId="270B467D" w14:textId="77777777" w:rsidR="000A37BA" w:rsidRDefault="00D93A71">
      <w:pPr>
        <w:numPr>
          <w:ilvl w:val="0"/>
          <w:numId w:val="2"/>
        </w:numPr>
        <w:spacing w:after="3" w:line="259" w:lineRule="auto"/>
        <w:ind w:hanging="360"/>
      </w:pPr>
      <w:r>
        <w:rPr>
          <w:color w:val="201F1E"/>
        </w:rPr>
        <w:t xml:space="preserve">July 1, 2021 </w:t>
      </w:r>
      <w:r>
        <w:rPr>
          <w:color w:val="201F1E"/>
        </w:rPr>
        <w:t>–</w:t>
      </w:r>
      <w:r>
        <w:rPr>
          <w:color w:val="201F1E"/>
        </w:rPr>
        <w:t xml:space="preserve"> Funding start date</w:t>
      </w:r>
      <w:r>
        <w:rPr>
          <w:rFonts w:ascii="Segoe UI" w:eastAsia="Segoe UI" w:hAnsi="Segoe UI" w:cs="Segoe UI"/>
          <w:color w:val="201F1E"/>
          <w:sz w:val="23"/>
        </w:rPr>
        <w:t xml:space="preserve"> </w:t>
      </w:r>
    </w:p>
    <w:p w14:paraId="769BE008" w14:textId="77777777" w:rsidR="000A37BA" w:rsidRDefault="00D93A71">
      <w:pPr>
        <w:numPr>
          <w:ilvl w:val="0"/>
          <w:numId w:val="2"/>
        </w:numPr>
        <w:spacing w:after="218" w:line="259" w:lineRule="auto"/>
        <w:ind w:hanging="360"/>
      </w:pPr>
      <w:r>
        <w:rPr>
          <w:color w:val="201F1E"/>
        </w:rPr>
        <w:t xml:space="preserve">Spring 2022 </w:t>
      </w:r>
      <w:r>
        <w:rPr>
          <w:color w:val="201F1E"/>
        </w:rPr>
        <w:t>–</w:t>
      </w:r>
      <w:r>
        <w:rPr>
          <w:color w:val="201F1E"/>
        </w:rPr>
        <w:t xml:space="preserve"> Final Report Due (approx. </w:t>
      </w:r>
      <w:r>
        <w:rPr>
          <w:color w:val="201F1E"/>
        </w:rPr>
        <w:t>–</w:t>
      </w:r>
      <w:r>
        <w:rPr>
          <w:color w:val="201F1E"/>
        </w:rPr>
        <w:t xml:space="preserve"> date TBD)</w:t>
      </w:r>
      <w:r>
        <w:rPr>
          <w:rFonts w:ascii="Segoe UI" w:eastAsia="Segoe UI" w:hAnsi="Segoe UI" w:cs="Segoe UI"/>
          <w:color w:val="201F1E"/>
          <w:sz w:val="23"/>
        </w:rPr>
        <w:t xml:space="preserve"> </w:t>
      </w:r>
    </w:p>
    <w:p w14:paraId="54EE7CB4" w14:textId="77777777" w:rsidR="000A37BA" w:rsidRDefault="00D93A71">
      <w:pPr>
        <w:spacing w:after="0" w:line="259" w:lineRule="auto"/>
        <w:ind w:left="15" w:firstLine="0"/>
      </w:pPr>
      <w:r>
        <w:t xml:space="preserve"> </w:t>
      </w:r>
    </w:p>
    <w:p w14:paraId="5C32F183" w14:textId="77777777" w:rsidR="000A37BA" w:rsidRDefault="00D93A71">
      <w:pPr>
        <w:pStyle w:val="Heading1"/>
        <w:numPr>
          <w:ilvl w:val="0"/>
          <w:numId w:val="0"/>
        </w:numPr>
        <w:spacing w:after="90"/>
        <w:ind w:left="10" w:right="2502"/>
      </w:pPr>
      <w:r>
        <w:t xml:space="preserve">Grantee Eligibility  </w:t>
      </w:r>
    </w:p>
    <w:p w14:paraId="29680C8D" w14:textId="77777777" w:rsidR="000A37BA" w:rsidRPr="00D93A71" w:rsidRDefault="00D93A71">
      <w:pPr>
        <w:numPr>
          <w:ilvl w:val="0"/>
          <w:numId w:val="3"/>
        </w:numPr>
        <w:spacing w:after="43" w:line="246" w:lineRule="auto"/>
        <w:ind w:right="49" w:hanging="360"/>
      </w:pPr>
      <w:r w:rsidRPr="00D93A71">
        <w:rPr>
          <w:noProof/>
        </w:rPr>
        <mc:AlternateContent>
          <mc:Choice Requires="wpg">
            <w:drawing>
              <wp:anchor distT="0" distB="0" distL="114300" distR="114300" simplePos="0" relativeHeight="251658240" behindDoc="1" locked="0" layoutInCell="1" allowOverlap="1" wp14:anchorId="5D1EC7DD" wp14:editId="00E64813">
                <wp:simplePos x="0" y="0"/>
                <wp:positionH relativeFrom="column">
                  <wp:posOffset>457200</wp:posOffset>
                </wp:positionH>
                <wp:positionV relativeFrom="paragraph">
                  <wp:posOffset>-28756</wp:posOffset>
                </wp:positionV>
                <wp:extent cx="6019229" cy="349568"/>
                <wp:effectExtent l="0" t="0" r="0" b="0"/>
                <wp:wrapNone/>
                <wp:docPr id="3534" name="Group 3534"/>
                <wp:cNvGraphicFramePr/>
                <a:graphic xmlns:a="http://schemas.openxmlformats.org/drawingml/2006/main">
                  <a:graphicData uri="http://schemas.microsoft.com/office/word/2010/wordprocessingGroup">
                    <wpg:wgp>
                      <wpg:cNvGrpSpPr/>
                      <wpg:grpSpPr>
                        <a:xfrm>
                          <a:off x="0" y="0"/>
                          <a:ext cx="6019229" cy="349568"/>
                          <a:chOff x="0" y="0"/>
                          <a:chExt cx="6019229" cy="349568"/>
                        </a:xfrm>
                      </wpg:grpSpPr>
                      <wps:wsp>
                        <wps:cNvPr id="4017" name="Shape 4017"/>
                        <wps:cNvSpPr/>
                        <wps:spPr>
                          <a:xfrm>
                            <a:off x="2210753" y="0"/>
                            <a:ext cx="3808476" cy="171768"/>
                          </a:xfrm>
                          <a:custGeom>
                            <a:avLst/>
                            <a:gdLst/>
                            <a:ahLst/>
                            <a:cxnLst/>
                            <a:rect l="0" t="0" r="0" b="0"/>
                            <a:pathLst>
                              <a:path w="3808476" h="171768">
                                <a:moveTo>
                                  <a:pt x="0" y="0"/>
                                </a:moveTo>
                                <a:lnTo>
                                  <a:pt x="3808476" y="0"/>
                                </a:lnTo>
                                <a:lnTo>
                                  <a:pt x="3808476" y="171768"/>
                                </a:lnTo>
                                <a:lnTo>
                                  <a:pt x="0" y="1717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018" name="Shape 4018"/>
                        <wps:cNvSpPr/>
                        <wps:spPr>
                          <a:xfrm>
                            <a:off x="0" y="178118"/>
                            <a:ext cx="4939030" cy="171450"/>
                          </a:xfrm>
                          <a:custGeom>
                            <a:avLst/>
                            <a:gdLst/>
                            <a:ahLst/>
                            <a:cxnLst/>
                            <a:rect l="0" t="0" r="0" b="0"/>
                            <a:pathLst>
                              <a:path w="4939030" h="171450">
                                <a:moveTo>
                                  <a:pt x="0" y="0"/>
                                </a:moveTo>
                                <a:lnTo>
                                  <a:pt x="4939030" y="0"/>
                                </a:lnTo>
                                <a:lnTo>
                                  <a:pt x="4939030" y="171450"/>
                                </a:lnTo>
                                <a:lnTo>
                                  <a:pt x="0" y="1714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534" style="width:473.955pt;height:27.525pt;position:absolute;z-index:-2147483599;mso-position-horizontal-relative:text;mso-position-horizontal:absolute;margin-left:36pt;mso-position-vertical-relative:text;margin-top:-2.26433pt;" coordsize="60192,3495">
                <v:shape id="Shape 4019" style="position:absolute;width:38084;height:1717;left:22107;top:0;" coordsize="3808476,171768" path="m0,0l3808476,0l3808476,171768l0,171768l0,0">
                  <v:stroke weight="0pt" endcap="flat" joinstyle="miter" miterlimit="10" on="false" color="#000000" opacity="0"/>
                  <v:fill on="true" color="#ffff00"/>
                </v:shape>
                <v:shape id="Shape 4020" style="position:absolute;width:49390;height:1714;left:0;top:1781;" coordsize="4939030,171450" path="m0,0l4939030,0l4939030,171450l0,171450l0,0">
                  <v:stroke weight="0pt" endcap="flat" joinstyle="miter" miterlimit="10" on="false" color="#000000" opacity="0"/>
                  <v:fill on="true" color="#ffff00"/>
                </v:shape>
              </v:group>
            </w:pict>
          </mc:Fallback>
        </mc:AlternateContent>
      </w:r>
      <w:r w:rsidRPr="00D93A71">
        <w:t xml:space="preserve">Nonprofit or government </w:t>
      </w:r>
      <w:r w:rsidRPr="00D93A71">
        <w:t>agency only (</w:t>
      </w:r>
      <w:r w:rsidRPr="00D93A71">
        <w:rPr>
          <w:i/>
        </w:rPr>
        <w:t xml:space="preserve">grant program is not open to School District programs.  Funding for district programs must request inclusion in the “Well-Being” allocation from the </w:t>
      </w:r>
      <w:proofErr w:type="gramStart"/>
      <w:r w:rsidRPr="00D93A71">
        <w:rPr>
          <w:i/>
        </w:rPr>
        <w:t>District</w:t>
      </w:r>
      <w:proofErr w:type="gramEnd"/>
      <w:r w:rsidRPr="00D93A71">
        <w:t xml:space="preserve">)  </w:t>
      </w:r>
    </w:p>
    <w:p w14:paraId="17B64E86" w14:textId="77777777" w:rsidR="000A37BA" w:rsidRDefault="00D93A71">
      <w:pPr>
        <w:numPr>
          <w:ilvl w:val="0"/>
          <w:numId w:val="3"/>
        </w:numPr>
        <w:ind w:right="49" w:hanging="360"/>
      </w:pPr>
      <w:r>
        <w:t>Good standing/no adverse action from the MN Charity Review Council (if applicable)</w:t>
      </w:r>
      <w:r>
        <w:t xml:space="preserve">  </w:t>
      </w:r>
    </w:p>
    <w:p w14:paraId="47EF213A" w14:textId="77777777" w:rsidR="000A37BA" w:rsidRDefault="00D93A71">
      <w:pPr>
        <w:numPr>
          <w:ilvl w:val="0"/>
          <w:numId w:val="3"/>
        </w:numPr>
        <w:spacing w:after="5"/>
        <w:ind w:right="49" w:hanging="360"/>
      </w:pPr>
      <w:r>
        <w:t xml:space="preserve">Timely and accurate completion of RFP form  </w:t>
      </w:r>
    </w:p>
    <w:p w14:paraId="3BDA90E7" w14:textId="77777777" w:rsidR="000A37BA" w:rsidRDefault="00D93A71">
      <w:pPr>
        <w:spacing w:after="20" w:line="259" w:lineRule="auto"/>
        <w:ind w:left="15" w:firstLine="0"/>
      </w:pPr>
      <w:r>
        <w:rPr>
          <w:b/>
        </w:rPr>
        <w:t xml:space="preserve"> </w:t>
      </w:r>
      <w:r>
        <w:t xml:space="preserve"> </w:t>
      </w:r>
    </w:p>
    <w:p w14:paraId="4AF5B7CC" w14:textId="77777777" w:rsidR="000A37BA" w:rsidRDefault="00D93A71">
      <w:pPr>
        <w:pStyle w:val="Heading1"/>
        <w:numPr>
          <w:ilvl w:val="0"/>
          <w:numId w:val="0"/>
        </w:numPr>
        <w:ind w:left="10" w:right="2502"/>
      </w:pPr>
      <w:r>
        <w:t xml:space="preserve">Criteria for funding  </w:t>
      </w:r>
    </w:p>
    <w:p w14:paraId="4F98EAB2" w14:textId="77777777" w:rsidR="000A37BA" w:rsidRDefault="00D93A71">
      <w:pPr>
        <w:spacing w:after="304"/>
        <w:ind w:right="49"/>
      </w:pPr>
      <w:r>
        <w:t xml:space="preserve">A well-articulated proposal that: </w:t>
      </w:r>
      <w:r>
        <w:rPr>
          <w:b/>
        </w:rPr>
        <w:t xml:space="preserve"> </w:t>
      </w:r>
      <w:r>
        <w:t xml:space="preserve"> </w:t>
      </w:r>
    </w:p>
    <w:p w14:paraId="3870837C" w14:textId="77777777" w:rsidR="000A37BA" w:rsidRDefault="00D93A71">
      <w:pPr>
        <w:numPr>
          <w:ilvl w:val="0"/>
          <w:numId w:val="4"/>
        </w:numPr>
        <w:ind w:right="49" w:hanging="360"/>
      </w:pPr>
      <w:r>
        <w:t xml:space="preserve">Clearly aligns closely with MFC vision/mission  </w:t>
      </w:r>
    </w:p>
    <w:p w14:paraId="4F70F733" w14:textId="77777777" w:rsidR="000A37BA" w:rsidRDefault="00D93A71">
      <w:pPr>
        <w:numPr>
          <w:ilvl w:val="0"/>
          <w:numId w:val="4"/>
        </w:numPr>
        <w:ind w:right="49" w:hanging="360"/>
      </w:pPr>
      <w:r>
        <w:t xml:space="preserve">Makes the case for meeting at least one of the MFC strategic priorities  </w:t>
      </w:r>
    </w:p>
    <w:p w14:paraId="3BC8407C" w14:textId="77777777" w:rsidR="000A37BA" w:rsidRDefault="00D93A71">
      <w:pPr>
        <w:numPr>
          <w:ilvl w:val="0"/>
          <w:numId w:val="4"/>
        </w:numPr>
        <w:ind w:right="49" w:hanging="360"/>
      </w:pPr>
      <w:r>
        <w:t xml:space="preserve">Fits clearly within MFC geographic focus  </w:t>
      </w:r>
    </w:p>
    <w:p w14:paraId="0C5EB08A" w14:textId="77777777" w:rsidR="000A37BA" w:rsidRDefault="00D93A71">
      <w:pPr>
        <w:numPr>
          <w:ilvl w:val="0"/>
          <w:numId w:val="4"/>
        </w:numPr>
        <w:spacing w:after="66"/>
        <w:ind w:right="49" w:hanging="360"/>
      </w:pPr>
      <w:r>
        <w:t>Directly serves individuals and families within the Minnetonka Public Schools population and/or who are scheduled to enter the Minnetonka P</w:t>
      </w:r>
      <w:r>
        <w:t xml:space="preserve">ublic Schools  </w:t>
      </w:r>
    </w:p>
    <w:p w14:paraId="27A7494B" w14:textId="77777777" w:rsidR="000A37BA" w:rsidRDefault="00D93A71">
      <w:pPr>
        <w:numPr>
          <w:ilvl w:val="0"/>
          <w:numId w:val="4"/>
        </w:numPr>
        <w:ind w:right="49" w:hanging="360"/>
      </w:pPr>
      <w:r>
        <w:t xml:space="preserve">Has clear, concise, logical, achievable objectives and support the case for support  </w:t>
      </w:r>
    </w:p>
    <w:p w14:paraId="57B38DB3" w14:textId="77777777" w:rsidR="000A37BA" w:rsidRDefault="00D93A71">
      <w:pPr>
        <w:numPr>
          <w:ilvl w:val="0"/>
          <w:numId w:val="4"/>
        </w:numPr>
        <w:ind w:right="49" w:hanging="360"/>
      </w:pPr>
      <w:r>
        <w:t xml:space="preserve">Includes a project budget and budget narrative that are clear and complete  </w:t>
      </w:r>
    </w:p>
    <w:p w14:paraId="1E4FE27F" w14:textId="77777777" w:rsidR="000A37BA" w:rsidRDefault="00D93A71">
      <w:pPr>
        <w:numPr>
          <w:ilvl w:val="0"/>
          <w:numId w:val="4"/>
        </w:numPr>
        <w:spacing w:after="196"/>
        <w:ind w:right="49" w:hanging="360"/>
      </w:pPr>
      <w:r>
        <w:t>Demonstrates a method for measuring results that impact the strategic priorit</w:t>
      </w:r>
      <w:r>
        <w:t xml:space="preserve">y areas  </w:t>
      </w:r>
    </w:p>
    <w:p w14:paraId="79B0ED23" w14:textId="77777777" w:rsidR="000A37BA" w:rsidRDefault="00D93A71">
      <w:pPr>
        <w:spacing w:after="299"/>
        <w:ind w:right="49"/>
      </w:pPr>
      <w:r>
        <w:t xml:space="preserve">In addition, preferences will be given to:    </w:t>
      </w:r>
    </w:p>
    <w:p w14:paraId="1386511A" w14:textId="77777777" w:rsidR="000A37BA" w:rsidRDefault="00D93A71">
      <w:pPr>
        <w:numPr>
          <w:ilvl w:val="0"/>
          <w:numId w:val="4"/>
        </w:numPr>
        <w:spacing w:after="29" w:line="259" w:lineRule="auto"/>
        <w:ind w:right="49" w:hanging="360"/>
      </w:pPr>
      <w:r>
        <w:rPr>
          <w:shd w:val="clear" w:color="auto" w:fill="FFFF00"/>
        </w:rPr>
        <w:t xml:space="preserve">Programs that demonstrate a direct impact on a large number of children and families within the </w:t>
      </w:r>
      <w:proofErr w:type="gramStart"/>
      <w:r>
        <w:rPr>
          <w:shd w:val="clear" w:color="auto" w:fill="FFFF00"/>
        </w:rPr>
        <w:t>District</w:t>
      </w:r>
      <w:proofErr w:type="gramEnd"/>
      <w:r>
        <w:t xml:space="preserve"> </w:t>
      </w:r>
    </w:p>
    <w:p w14:paraId="22E20FD0" w14:textId="77777777" w:rsidR="000A37BA" w:rsidRDefault="00D93A71">
      <w:pPr>
        <w:numPr>
          <w:ilvl w:val="0"/>
          <w:numId w:val="4"/>
        </w:numPr>
        <w:ind w:right="49" w:hanging="360"/>
      </w:pPr>
      <w:r>
        <w:t xml:space="preserve">Evidence-based/promising practices as part of program delivery  </w:t>
      </w:r>
    </w:p>
    <w:p w14:paraId="55856F56" w14:textId="77777777" w:rsidR="000A37BA" w:rsidRDefault="00D93A71">
      <w:pPr>
        <w:numPr>
          <w:ilvl w:val="0"/>
          <w:numId w:val="4"/>
        </w:numPr>
        <w:spacing w:after="66"/>
        <w:ind w:right="49" w:hanging="360"/>
      </w:pPr>
      <w:r>
        <w:t xml:space="preserve">Projects that contribute to </w:t>
      </w:r>
      <w:r>
        <w:t xml:space="preserve">community-wide systems change (more collaborative partners, improved access, improved coordination of services, improved resource allocation, improved </w:t>
      </w:r>
      <w:proofErr w:type="gramStart"/>
      <w:r>
        <w:t>efficiency</w:t>
      </w:r>
      <w:proofErr w:type="gramEnd"/>
      <w:r>
        <w:t xml:space="preserve"> and effectiveness, reduced costs, etc.)  </w:t>
      </w:r>
    </w:p>
    <w:p w14:paraId="7B0D08BC" w14:textId="77777777" w:rsidR="000A37BA" w:rsidRDefault="00D93A71">
      <w:pPr>
        <w:numPr>
          <w:ilvl w:val="0"/>
          <w:numId w:val="4"/>
        </w:numPr>
        <w:spacing w:after="2"/>
        <w:ind w:right="49" w:hanging="360"/>
      </w:pPr>
      <w:r>
        <w:t xml:space="preserve">Projects which bring together different sectors and </w:t>
      </w:r>
      <w:r>
        <w:t xml:space="preserve">systems to collaborate for results (government, non-profit and/or business - </w:t>
      </w:r>
      <w:r>
        <w:t>children’s mental health, child welfare, juvenile corrections, child</w:t>
      </w:r>
      <w:r>
        <w:t xml:space="preserve">-care, home visiting, primary care/clinical care, etc.)  </w:t>
      </w:r>
    </w:p>
    <w:p w14:paraId="3E1513FA" w14:textId="77777777" w:rsidR="000A37BA" w:rsidRDefault="00D93A71">
      <w:pPr>
        <w:spacing w:after="0" w:line="259" w:lineRule="auto"/>
        <w:ind w:left="735" w:firstLine="0"/>
      </w:pPr>
      <w:r>
        <w:t xml:space="preserve">  </w:t>
      </w:r>
    </w:p>
    <w:p w14:paraId="49AC2514" w14:textId="77777777" w:rsidR="000A37BA" w:rsidRDefault="00D93A71">
      <w:pPr>
        <w:spacing w:after="55" w:line="252" w:lineRule="auto"/>
        <w:ind w:left="10" w:right="2502"/>
      </w:pPr>
      <w:r>
        <w:rPr>
          <w:b/>
        </w:rPr>
        <w:t xml:space="preserve">Additional Expectations: </w:t>
      </w:r>
      <w:r>
        <w:t xml:space="preserve"> </w:t>
      </w:r>
    </w:p>
    <w:p w14:paraId="6C174023" w14:textId="77777777" w:rsidR="000A37BA" w:rsidRDefault="00D93A71">
      <w:pPr>
        <w:numPr>
          <w:ilvl w:val="0"/>
          <w:numId w:val="5"/>
        </w:numPr>
        <w:spacing w:after="44" w:line="259" w:lineRule="auto"/>
        <w:ind w:right="25" w:hanging="360"/>
      </w:pPr>
      <w:r>
        <w:rPr>
          <w:b/>
          <w:i/>
        </w:rPr>
        <w:t xml:space="preserve">Grantees are expected to be an active/attending member of the MFC. </w:t>
      </w:r>
      <w:r>
        <w:t xml:space="preserve"> </w:t>
      </w:r>
    </w:p>
    <w:p w14:paraId="530470AE" w14:textId="77777777" w:rsidR="000A37BA" w:rsidRDefault="00D93A71">
      <w:pPr>
        <w:numPr>
          <w:ilvl w:val="0"/>
          <w:numId w:val="5"/>
        </w:numPr>
        <w:spacing w:after="5"/>
        <w:ind w:right="25" w:hanging="360"/>
      </w:pPr>
      <w:r>
        <w:t xml:space="preserve">Grantees are expected to share/report program results and strategies to the MFC community.  </w:t>
      </w:r>
    </w:p>
    <w:p w14:paraId="6C63A7B0" w14:textId="77777777" w:rsidR="000A37BA" w:rsidRDefault="00D93A71">
      <w:pPr>
        <w:spacing w:after="0" w:line="259" w:lineRule="auto"/>
        <w:ind w:left="15" w:firstLine="0"/>
      </w:pPr>
      <w:r>
        <w:rPr>
          <w:b/>
        </w:rPr>
        <w:t xml:space="preserve"> </w:t>
      </w:r>
      <w:r>
        <w:t xml:space="preserve"> </w:t>
      </w:r>
    </w:p>
    <w:p w14:paraId="4624FB08" w14:textId="77777777" w:rsidR="000A37BA" w:rsidRDefault="00D93A71">
      <w:pPr>
        <w:spacing w:after="50" w:line="252" w:lineRule="auto"/>
        <w:ind w:left="10" w:right="2502"/>
      </w:pPr>
      <w:r>
        <w:rPr>
          <w:b/>
        </w:rPr>
        <w:t xml:space="preserve">What MFC does not fund: </w:t>
      </w:r>
      <w:r>
        <w:t xml:space="preserve"> </w:t>
      </w:r>
    </w:p>
    <w:p w14:paraId="13BF318F" w14:textId="77777777" w:rsidR="000A37BA" w:rsidRDefault="00D93A71">
      <w:pPr>
        <w:numPr>
          <w:ilvl w:val="0"/>
          <w:numId w:val="6"/>
        </w:numPr>
        <w:ind w:right="49" w:hanging="360"/>
      </w:pPr>
      <w:r>
        <w:t xml:space="preserve">Activities that have a specific religious or political purpose  </w:t>
      </w:r>
    </w:p>
    <w:p w14:paraId="28DCF1A6" w14:textId="77777777" w:rsidR="000A37BA" w:rsidRDefault="00D93A71">
      <w:pPr>
        <w:numPr>
          <w:ilvl w:val="0"/>
          <w:numId w:val="6"/>
        </w:numPr>
        <w:ind w:right="49" w:hanging="360"/>
      </w:pPr>
      <w:r>
        <w:t xml:space="preserve">Attendance at or travel to conferences or costs related to conferences  </w:t>
      </w:r>
    </w:p>
    <w:p w14:paraId="3F2F37B5" w14:textId="77777777" w:rsidR="000A37BA" w:rsidRDefault="00D93A71">
      <w:pPr>
        <w:numPr>
          <w:ilvl w:val="0"/>
          <w:numId w:val="6"/>
        </w:numPr>
        <w:ind w:right="49" w:hanging="360"/>
      </w:pPr>
      <w:r>
        <w:lastRenderedPageBreak/>
        <w:t xml:space="preserve">Endowments  </w:t>
      </w:r>
    </w:p>
    <w:p w14:paraId="117902C2" w14:textId="77777777" w:rsidR="000A37BA" w:rsidRDefault="00D93A71">
      <w:pPr>
        <w:numPr>
          <w:ilvl w:val="0"/>
          <w:numId w:val="6"/>
        </w:numPr>
        <w:ind w:right="49" w:hanging="360"/>
      </w:pPr>
      <w:r>
        <w:t xml:space="preserve">Scientific research   </w:t>
      </w:r>
    </w:p>
    <w:p w14:paraId="6A6B8472" w14:textId="77777777" w:rsidR="000A37BA" w:rsidRDefault="00D93A71">
      <w:pPr>
        <w:numPr>
          <w:ilvl w:val="0"/>
          <w:numId w:val="6"/>
        </w:numPr>
        <w:ind w:right="49" w:hanging="360"/>
      </w:pPr>
      <w:r>
        <w:t xml:space="preserve">Professional development expenses for staff  </w:t>
      </w:r>
    </w:p>
    <w:p w14:paraId="39C4FD8E" w14:textId="77777777" w:rsidR="000A37BA" w:rsidRDefault="00D93A71">
      <w:pPr>
        <w:numPr>
          <w:ilvl w:val="0"/>
          <w:numId w:val="6"/>
        </w:numPr>
        <w:spacing w:after="5"/>
        <w:ind w:right="49" w:hanging="360"/>
      </w:pPr>
      <w:r>
        <w:t xml:space="preserve">Purchase of electronic equipment to support the initiative  </w:t>
      </w:r>
    </w:p>
    <w:p w14:paraId="553FF8E4" w14:textId="77777777" w:rsidR="000A37BA" w:rsidRDefault="00D93A71">
      <w:pPr>
        <w:spacing w:after="0" w:line="259" w:lineRule="auto"/>
        <w:ind w:left="15" w:firstLine="0"/>
      </w:pPr>
      <w:r>
        <w:t xml:space="preserve">  </w:t>
      </w:r>
    </w:p>
    <w:p w14:paraId="123C2789" w14:textId="77777777" w:rsidR="000A37BA" w:rsidRDefault="00D93A71">
      <w:pPr>
        <w:pStyle w:val="Heading1"/>
        <w:numPr>
          <w:ilvl w:val="0"/>
          <w:numId w:val="0"/>
        </w:numPr>
        <w:ind w:left="10" w:right="2502"/>
      </w:pPr>
      <w:r>
        <w:t xml:space="preserve">Reporting Requirements  </w:t>
      </w:r>
    </w:p>
    <w:p w14:paraId="28C56B0B" w14:textId="77777777" w:rsidR="000A37BA" w:rsidRDefault="00D93A71">
      <w:pPr>
        <w:numPr>
          <w:ilvl w:val="0"/>
          <w:numId w:val="7"/>
        </w:numPr>
        <w:ind w:right="49" w:hanging="360"/>
      </w:pPr>
      <w:r>
        <w:t>MFC fiscal y</w:t>
      </w:r>
      <w:r>
        <w:t>ear ends June 30</w:t>
      </w:r>
      <w:r>
        <w:rPr>
          <w:vertAlign w:val="superscript"/>
        </w:rPr>
        <w:t>th</w:t>
      </w:r>
      <w:r>
        <w:t xml:space="preserve">  </w:t>
      </w:r>
    </w:p>
    <w:p w14:paraId="38A84848" w14:textId="2B75E877" w:rsidR="000A37BA" w:rsidRDefault="00D93A71">
      <w:pPr>
        <w:numPr>
          <w:ilvl w:val="0"/>
          <w:numId w:val="7"/>
        </w:numPr>
        <w:spacing w:after="44" w:line="245" w:lineRule="auto"/>
        <w:ind w:right="49" w:hanging="360"/>
      </w:pPr>
      <w:r>
        <w:t>MFC final report (format to be sent to you electronically) due at a date TBD in the spring of 2023</w:t>
      </w:r>
      <w:r>
        <w:t xml:space="preserve"> </w:t>
      </w:r>
      <w:r>
        <w:t xml:space="preserve">that includes a summary of outcomes (going beyond outputs) that were achieved that made a difference in the lives of your clients served  </w:t>
      </w:r>
    </w:p>
    <w:p w14:paraId="2AE9D058" w14:textId="77777777" w:rsidR="000A37BA" w:rsidRDefault="00D93A71">
      <w:pPr>
        <w:numPr>
          <w:ilvl w:val="0"/>
          <w:numId w:val="7"/>
        </w:numPr>
        <w:spacing w:after="0"/>
        <w:ind w:right="49" w:hanging="360"/>
      </w:pPr>
      <w:r>
        <w:t>Submission of a financial report documenting that the grant was used for the purpose intended and a copy of the final</w:t>
      </w:r>
      <w:r>
        <w:t xml:space="preserve"> program budget with actuals  </w:t>
      </w:r>
    </w:p>
    <w:p w14:paraId="66EA7FCE" w14:textId="77777777" w:rsidR="000A37BA" w:rsidRDefault="00D93A71">
      <w:pPr>
        <w:spacing w:after="260" w:line="259" w:lineRule="auto"/>
        <w:ind w:left="735" w:firstLine="0"/>
      </w:pPr>
      <w:r>
        <w:t xml:space="preserve">  </w:t>
      </w:r>
    </w:p>
    <w:p w14:paraId="4D35F8BF" w14:textId="77777777" w:rsidR="000A37BA" w:rsidRDefault="00D93A71">
      <w:pPr>
        <w:pStyle w:val="Heading1"/>
        <w:numPr>
          <w:ilvl w:val="0"/>
          <w:numId w:val="0"/>
        </w:numPr>
        <w:spacing w:after="0" w:line="259" w:lineRule="auto"/>
        <w:ind w:right="52"/>
        <w:jc w:val="center"/>
      </w:pPr>
      <w:r>
        <w:rPr>
          <w:i/>
          <w:sz w:val="24"/>
        </w:rPr>
        <w:t>Any questions, please contact Cari Lindberg at:</w:t>
      </w:r>
      <w:r>
        <w:rPr>
          <w:b w:val="0"/>
          <w:i/>
          <w:sz w:val="24"/>
        </w:rPr>
        <w:t xml:space="preserve"> </w:t>
      </w:r>
      <w:r>
        <w:rPr>
          <w:i/>
          <w:color w:val="0563C1"/>
          <w:sz w:val="24"/>
          <w:u w:val="single" w:color="0563C1"/>
        </w:rPr>
        <w:t>Carine.Lindberg@Minnetonkaschools.org</w:t>
      </w:r>
      <w:r>
        <w:rPr>
          <w:i/>
          <w:sz w:val="24"/>
        </w:rPr>
        <w:t xml:space="preserve">  </w:t>
      </w:r>
      <w:r>
        <w:rPr>
          <w:b w:val="0"/>
          <w:i/>
          <w:sz w:val="24"/>
        </w:rPr>
        <w:t xml:space="preserve"> </w:t>
      </w:r>
      <w:r>
        <w:t xml:space="preserve"> </w:t>
      </w:r>
    </w:p>
    <w:p w14:paraId="2A949B58" w14:textId="77777777" w:rsidR="000A37BA" w:rsidRDefault="00D93A71">
      <w:pPr>
        <w:spacing w:after="0" w:line="259" w:lineRule="auto"/>
        <w:ind w:left="735" w:firstLine="0"/>
      </w:pPr>
      <w:r>
        <w:t xml:space="preserve">  </w:t>
      </w:r>
    </w:p>
    <w:p w14:paraId="22183E49" w14:textId="77777777" w:rsidR="000A37BA" w:rsidRDefault="00D93A71">
      <w:pPr>
        <w:spacing w:after="0" w:line="259" w:lineRule="auto"/>
        <w:ind w:left="735" w:firstLine="0"/>
      </w:pPr>
      <w:r>
        <w:t xml:space="preserve">  </w:t>
      </w:r>
    </w:p>
    <w:sectPr w:rsidR="000A37BA">
      <w:pgSz w:w="12240" w:h="15840"/>
      <w:pgMar w:top="803" w:right="661" w:bottom="1077"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2E9"/>
    <w:multiLevelType w:val="hybridMultilevel"/>
    <w:tmpl w:val="39BAEB50"/>
    <w:lvl w:ilvl="0" w:tplc="EC2CE0BC">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EA52E">
      <w:start w:val="1"/>
      <w:numFmt w:val="bullet"/>
      <w:lvlText w:val="o"/>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E48C02">
      <w:start w:val="1"/>
      <w:numFmt w:val="bullet"/>
      <w:lvlText w:val="▪"/>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B00EFE">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A236F4">
      <w:start w:val="1"/>
      <w:numFmt w:val="bullet"/>
      <w:lvlText w:val="o"/>
      <w:lvlJc w:val="left"/>
      <w:pPr>
        <w:ind w:left="3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42FBDA">
      <w:start w:val="1"/>
      <w:numFmt w:val="bullet"/>
      <w:lvlText w:val="▪"/>
      <w:lvlJc w:val="left"/>
      <w:pPr>
        <w:ind w:left="4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0C4F8C">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94D3A6">
      <w:start w:val="1"/>
      <w:numFmt w:val="bullet"/>
      <w:lvlText w:val="o"/>
      <w:lvlJc w:val="left"/>
      <w:pPr>
        <w:ind w:left="5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5C4A68">
      <w:start w:val="1"/>
      <w:numFmt w:val="bullet"/>
      <w:lvlText w:val="▪"/>
      <w:lvlJc w:val="left"/>
      <w:pPr>
        <w:ind w:left="6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8E6693"/>
    <w:multiLevelType w:val="hybridMultilevel"/>
    <w:tmpl w:val="DA605910"/>
    <w:lvl w:ilvl="0" w:tplc="52108C56">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CC206">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0B06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C8312">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149CA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A0542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BA12BA">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3E9DC6">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A986">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B33408"/>
    <w:multiLevelType w:val="hybridMultilevel"/>
    <w:tmpl w:val="8E3CFBFA"/>
    <w:lvl w:ilvl="0" w:tplc="63AE6ACE">
      <w:start w:val="1"/>
      <w:numFmt w:val="bullet"/>
      <w:lvlText w:val="•"/>
      <w:lvlJc w:val="left"/>
      <w:pPr>
        <w:ind w:left="720"/>
      </w:pPr>
      <w:rPr>
        <w:rFonts w:ascii="Arial" w:eastAsia="Arial" w:hAnsi="Arial" w:cs="Arial"/>
        <w:b w:val="0"/>
        <w:i w:val="0"/>
        <w:strike w:val="0"/>
        <w:dstrike w:val="0"/>
        <w:color w:val="201F1E"/>
        <w:sz w:val="20"/>
        <w:szCs w:val="20"/>
        <w:u w:val="none" w:color="000000"/>
        <w:bdr w:val="none" w:sz="0" w:space="0" w:color="auto"/>
        <w:shd w:val="clear" w:color="auto" w:fill="auto"/>
        <w:vertAlign w:val="baseline"/>
      </w:rPr>
    </w:lvl>
    <w:lvl w:ilvl="1" w:tplc="D346E5EA">
      <w:start w:val="1"/>
      <w:numFmt w:val="bullet"/>
      <w:lvlText w:val="o"/>
      <w:lvlJc w:val="left"/>
      <w:pPr>
        <w:ind w:left="1455"/>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2" w:tplc="EA72C50E">
      <w:start w:val="1"/>
      <w:numFmt w:val="bullet"/>
      <w:lvlText w:val="▪"/>
      <w:lvlJc w:val="left"/>
      <w:pPr>
        <w:ind w:left="2175"/>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3" w:tplc="5B88EA54">
      <w:start w:val="1"/>
      <w:numFmt w:val="bullet"/>
      <w:lvlText w:val="•"/>
      <w:lvlJc w:val="left"/>
      <w:pPr>
        <w:ind w:left="2895"/>
      </w:pPr>
      <w:rPr>
        <w:rFonts w:ascii="Arial" w:eastAsia="Arial" w:hAnsi="Arial" w:cs="Arial"/>
        <w:b w:val="0"/>
        <w:i w:val="0"/>
        <w:strike w:val="0"/>
        <w:dstrike w:val="0"/>
        <w:color w:val="201F1E"/>
        <w:sz w:val="20"/>
        <w:szCs w:val="20"/>
        <w:u w:val="none" w:color="000000"/>
        <w:bdr w:val="none" w:sz="0" w:space="0" w:color="auto"/>
        <w:shd w:val="clear" w:color="auto" w:fill="auto"/>
        <w:vertAlign w:val="baseline"/>
      </w:rPr>
    </w:lvl>
    <w:lvl w:ilvl="4" w:tplc="20F01B96">
      <w:start w:val="1"/>
      <w:numFmt w:val="bullet"/>
      <w:lvlText w:val="o"/>
      <w:lvlJc w:val="left"/>
      <w:pPr>
        <w:ind w:left="3615"/>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5" w:tplc="BC20C6A0">
      <w:start w:val="1"/>
      <w:numFmt w:val="bullet"/>
      <w:lvlText w:val="▪"/>
      <w:lvlJc w:val="left"/>
      <w:pPr>
        <w:ind w:left="4335"/>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6" w:tplc="A4F831E4">
      <w:start w:val="1"/>
      <w:numFmt w:val="bullet"/>
      <w:lvlText w:val="•"/>
      <w:lvlJc w:val="left"/>
      <w:pPr>
        <w:ind w:left="5055"/>
      </w:pPr>
      <w:rPr>
        <w:rFonts w:ascii="Arial" w:eastAsia="Arial" w:hAnsi="Arial" w:cs="Arial"/>
        <w:b w:val="0"/>
        <w:i w:val="0"/>
        <w:strike w:val="0"/>
        <w:dstrike w:val="0"/>
        <w:color w:val="201F1E"/>
        <w:sz w:val="20"/>
        <w:szCs w:val="20"/>
        <w:u w:val="none" w:color="000000"/>
        <w:bdr w:val="none" w:sz="0" w:space="0" w:color="auto"/>
        <w:shd w:val="clear" w:color="auto" w:fill="auto"/>
        <w:vertAlign w:val="baseline"/>
      </w:rPr>
    </w:lvl>
    <w:lvl w:ilvl="7" w:tplc="5CA0F2B4">
      <w:start w:val="1"/>
      <w:numFmt w:val="bullet"/>
      <w:lvlText w:val="o"/>
      <w:lvlJc w:val="left"/>
      <w:pPr>
        <w:ind w:left="5775"/>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lvl w:ilvl="8" w:tplc="A128FFCA">
      <w:start w:val="1"/>
      <w:numFmt w:val="bullet"/>
      <w:lvlText w:val="▪"/>
      <w:lvlJc w:val="left"/>
      <w:pPr>
        <w:ind w:left="6495"/>
      </w:pPr>
      <w:rPr>
        <w:rFonts w:ascii="Segoe UI Symbol" w:eastAsia="Segoe UI Symbol" w:hAnsi="Segoe UI Symbol" w:cs="Segoe UI Symbol"/>
        <w:b w:val="0"/>
        <w:i w:val="0"/>
        <w:strike w:val="0"/>
        <w:dstrike w:val="0"/>
        <w:color w:val="201F1E"/>
        <w:sz w:val="20"/>
        <w:szCs w:val="20"/>
        <w:u w:val="none" w:color="000000"/>
        <w:bdr w:val="none" w:sz="0" w:space="0" w:color="auto"/>
        <w:shd w:val="clear" w:color="auto" w:fill="auto"/>
        <w:vertAlign w:val="baseline"/>
      </w:rPr>
    </w:lvl>
  </w:abstractNum>
  <w:abstractNum w:abstractNumId="3" w15:restartNumberingAfterBreak="0">
    <w:nsid w:val="30160838"/>
    <w:multiLevelType w:val="hybridMultilevel"/>
    <w:tmpl w:val="F1F25E9E"/>
    <w:lvl w:ilvl="0" w:tplc="3C62D8B0">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CCE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FC1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654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26D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E9E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B655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1263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8C80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5845CA"/>
    <w:multiLevelType w:val="hybridMultilevel"/>
    <w:tmpl w:val="1C821578"/>
    <w:lvl w:ilvl="0" w:tplc="25A82068">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B20A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3C94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3C93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BE3A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A821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CEA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74B8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E12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770D31"/>
    <w:multiLevelType w:val="hybridMultilevel"/>
    <w:tmpl w:val="68F018A4"/>
    <w:lvl w:ilvl="0" w:tplc="968A9350">
      <w:start w:val="1"/>
      <w:numFmt w:val="decimal"/>
      <w:lvlText w:val="%1."/>
      <w:lvlJc w:val="left"/>
      <w:pPr>
        <w:ind w:left="723"/>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DB76FF4E">
      <w:start w:val="1"/>
      <w:numFmt w:val="lowerLetter"/>
      <w:lvlText w:val="%2"/>
      <w:lvlJc w:val="left"/>
      <w:pPr>
        <w:ind w:left="145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DE8C592C">
      <w:start w:val="1"/>
      <w:numFmt w:val="lowerRoman"/>
      <w:lvlText w:val="%3"/>
      <w:lvlJc w:val="left"/>
      <w:pPr>
        <w:ind w:left="217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581800E0">
      <w:start w:val="1"/>
      <w:numFmt w:val="decimal"/>
      <w:lvlText w:val="%4"/>
      <w:lvlJc w:val="left"/>
      <w:pPr>
        <w:ind w:left="28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E85A779E">
      <w:start w:val="1"/>
      <w:numFmt w:val="lowerLetter"/>
      <w:lvlText w:val="%5"/>
      <w:lvlJc w:val="left"/>
      <w:pPr>
        <w:ind w:left="361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49F824B4">
      <w:start w:val="1"/>
      <w:numFmt w:val="lowerRoman"/>
      <w:lvlText w:val="%6"/>
      <w:lvlJc w:val="left"/>
      <w:pPr>
        <w:ind w:left="433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8FEA928A">
      <w:start w:val="1"/>
      <w:numFmt w:val="decimal"/>
      <w:lvlText w:val="%7"/>
      <w:lvlJc w:val="left"/>
      <w:pPr>
        <w:ind w:left="505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36248BF8">
      <w:start w:val="1"/>
      <w:numFmt w:val="lowerLetter"/>
      <w:lvlText w:val="%8"/>
      <w:lvlJc w:val="left"/>
      <w:pPr>
        <w:ind w:left="577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4DA08002">
      <w:start w:val="1"/>
      <w:numFmt w:val="lowerRoman"/>
      <w:lvlText w:val="%9"/>
      <w:lvlJc w:val="left"/>
      <w:pPr>
        <w:ind w:left="649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2D07200"/>
    <w:multiLevelType w:val="hybridMultilevel"/>
    <w:tmpl w:val="5950C090"/>
    <w:lvl w:ilvl="0" w:tplc="D56E5D1A">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EAC4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CCEC2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616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B299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4CD0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067C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AA6F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D849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4528FE"/>
    <w:multiLevelType w:val="hybridMultilevel"/>
    <w:tmpl w:val="BB46F1B2"/>
    <w:lvl w:ilvl="0" w:tplc="EA8E0342">
      <w:start w:val="2020"/>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5A029A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060B11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7163B8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E6A09D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1D6EF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5693C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824C5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2921F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BA"/>
    <w:rsid w:val="000A37BA"/>
    <w:rsid w:val="003B2E4D"/>
    <w:rsid w:val="00D93A71"/>
    <w:rsid w:val="00E3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52DC9"/>
  <w15:docId w15:val="{EEE9C883-8E11-C042-BBC1-706B5108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54" w:lineRule="auto"/>
      <w:ind w:left="25"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numPr>
        <w:numId w:val="8"/>
      </w:numPr>
      <w:spacing w:after="19" w:line="252" w:lineRule="auto"/>
      <w:ind w:left="2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Carine</dc:creator>
  <cp:keywords/>
  <cp:lastModifiedBy>Lindberg, Carine</cp:lastModifiedBy>
  <cp:revision>3</cp:revision>
  <cp:lastPrinted>2022-02-18T19:07:00Z</cp:lastPrinted>
  <dcterms:created xsi:type="dcterms:W3CDTF">2022-02-18T18:53:00Z</dcterms:created>
  <dcterms:modified xsi:type="dcterms:W3CDTF">2022-02-18T19:08:00Z</dcterms:modified>
</cp:coreProperties>
</file>